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17C8D5" w14:textId="1C105E35" w:rsidR="005857F6" w:rsidRPr="00863065" w:rsidRDefault="005857F6" w:rsidP="005857F6">
      <w:pPr>
        <w:pStyle w:val="a7"/>
        <w:tabs>
          <w:tab w:val="left" w:pos="709"/>
          <w:tab w:val="right" w:pos="9639"/>
        </w:tabs>
        <w:wordWrap w:val="0"/>
        <w:spacing w:after="0"/>
        <w:ind w:right="120"/>
        <w:jc w:val="right"/>
        <w:rPr>
          <w:rFonts w:cs="Arial"/>
        </w:rPr>
      </w:pPr>
      <w:r w:rsidRPr="00863065">
        <w:rPr>
          <w:rFonts w:cs="Arial"/>
        </w:rPr>
        <w:t>3GPP TSG-RAN</w:t>
      </w:r>
      <w:r>
        <w:rPr>
          <w:rFonts w:cs="Arial" w:hint="eastAsia"/>
        </w:rPr>
        <w:t xml:space="preserve"> WG2 </w:t>
      </w:r>
      <w:r w:rsidRPr="00863065">
        <w:rPr>
          <w:rFonts w:cs="Arial"/>
        </w:rPr>
        <w:t>#</w:t>
      </w:r>
      <w:r>
        <w:rPr>
          <w:rFonts w:cs="Arial"/>
        </w:rPr>
        <w:t>1</w:t>
      </w:r>
      <w:r w:rsidR="00A855FF">
        <w:rPr>
          <w:rFonts w:cs="Arial" w:hint="eastAsia"/>
        </w:rPr>
        <w:t>27-bis</w:t>
      </w:r>
      <w:r w:rsidRPr="00863065">
        <w:rPr>
          <w:rFonts w:cs="Arial"/>
        </w:rPr>
        <w:tab/>
        <w:t>R</w:t>
      </w:r>
      <w:r>
        <w:rPr>
          <w:rFonts w:cs="Arial" w:hint="eastAsia"/>
        </w:rPr>
        <w:t>2</w:t>
      </w:r>
      <w:r w:rsidRPr="00863065">
        <w:rPr>
          <w:rFonts w:cs="Arial"/>
        </w:rPr>
        <w:t>-</w:t>
      </w:r>
      <w:r>
        <w:rPr>
          <w:rFonts w:cs="Arial"/>
        </w:rPr>
        <w:t>2</w:t>
      </w:r>
      <w:r w:rsidR="00A855FF">
        <w:rPr>
          <w:rFonts w:cs="Arial" w:hint="eastAsia"/>
        </w:rPr>
        <w:t>4</w:t>
      </w:r>
      <w:r w:rsidR="009A4223">
        <w:rPr>
          <w:rFonts w:cs="Arial" w:hint="eastAsia"/>
        </w:rPr>
        <w:t>08703</w:t>
      </w:r>
    </w:p>
    <w:p w14:paraId="298061C1" w14:textId="7C6C18FE" w:rsidR="005857F6" w:rsidRPr="00863065" w:rsidRDefault="00A855FF" w:rsidP="005857F6">
      <w:pPr>
        <w:pStyle w:val="a7"/>
        <w:tabs>
          <w:tab w:val="left" w:pos="709"/>
          <w:tab w:val="right" w:pos="9639"/>
        </w:tabs>
        <w:spacing w:after="0"/>
        <w:jc w:val="left"/>
        <w:rPr>
          <w:rFonts w:cs="Arial"/>
          <w:lang w:val="en-US"/>
        </w:rPr>
      </w:pPr>
      <w:r>
        <w:rPr>
          <w:rFonts w:cs="Arial" w:hint="eastAsia"/>
          <w:lang w:val="en-US"/>
        </w:rPr>
        <w:t>Hefei</w:t>
      </w:r>
      <w:r w:rsidR="005857F6">
        <w:rPr>
          <w:rFonts w:cs="Arial"/>
          <w:lang w:val="en-US"/>
        </w:rPr>
        <w:t xml:space="preserve">, </w:t>
      </w:r>
      <w:r>
        <w:rPr>
          <w:rFonts w:cs="Arial" w:hint="eastAsia"/>
          <w:lang w:val="en-US"/>
        </w:rPr>
        <w:t>China</w:t>
      </w:r>
      <w:r w:rsidR="005857F6">
        <w:rPr>
          <w:rFonts w:cs="Arial"/>
          <w:lang w:val="en-US"/>
        </w:rPr>
        <w:t xml:space="preserve">, </w:t>
      </w:r>
      <w:r>
        <w:rPr>
          <w:rFonts w:cs="Arial" w:hint="eastAsia"/>
          <w:lang w:val="en-US"/>
        </w:rPr>
        <w:t>14</w:t>
      </w:r>
      <w:r w:rsidR="005857F6">
        <w:rPr>
          <w:rFonts w:cs="Arial"/>
          <w:vertAlign w:val="superscript"/>
          <w:lang w:val="en-US"/>
        </w:rPr>
        <w:t>th</w:t>
      </w:r>
      <w:r w:rsidR="005857F6">
        <w:rPr>
          <w:rFonts w:cs="Arial"/>
          <w:lang w:val="en-US"/>
        </w:rPr>
        <w:t xml:space="preserve"> –</w:t>
      </w:r>
      <w:r w:rsidR="005857F6">
        <w:rPr>
          <w:rFonts w:cs="Arial" w:hint="eastAsia"/>
          <w:lang w:val="en-US"/>
        </w:rPr>
        <w:t xml:space="preserve"> </w:t>
      </w:r>
      <w:r>
        <w:rPr>
          <w:rFonts w:cs="Arial" w:hint="eastAsia"/>
          <w:lang w:val="en-US"/>
        </w:rPr>
        <w:t>18</w:t>
      </w:r>
      <w:r w:rsidRPr="00A855FF">
        <w:rPr>
          <w:rFonts w:cs="Arial" w:hint="eastAsia"/>
          <w:vertAlign w:val="superscript"/>
          <w:lang w:val="en-US"/>
        </w:rPr>
        <w:t>th</w:t>
      </w:r>
      <w:r>
        <w:rPr>
          <w:rFonts w:cs="Arial" w:hint="eastAsia"/>
          <w:lang w:val="en-US"/>
        </w:rPr>
        <w:t xml:space="preserve"> October</w:t>
      </w:r>
      <w:r w:rsidR="005857F6" w:rsidRPr="00802E96">
        <w:rPr>
          <w:rFonts w:cs="Arial"/>
          <w:lang w:val="en-US"/>
        </w:rPr>
        <w:t xml:space="preserve"> 20</w:t>
      </w:r>
      <w:r w:rsidR="005857F6">
        <w:rPr>
          <w:rFonts w:cs="Arial"/>
          <w:lang w:val="en-US"/>
        </w:rPr>
        <w:t>2</w:t>
      </w:r>
      <w:r>
        <w:rPr>
          <w:rFonts w:cs="Arial" w:hint="eastAsia"/>
          <w:lang w:val="en-US"/>
        </w:rPr>
        <w:t>4</w:t>
      </w:r>
    </w:p>
    <w:p w14:paraId="3AF895BC" w14:textId="77777777" w:rsidR="007E2FC8" w:rsidRPr="00863065" w:rsidRDefault="007E2FC8" w:rsidP="007E2FC8">
      <w:pPr>
        <w:pStyle w:val="a7"/>
        <w:pBdr>
          <w:bottom w:val="single" w:sz="4" w:space="1" w:color="auto"/>
        </w:pBdr>
        <w:tabs>
          <w:tab w:val="left" w:pos="709"/>
        </w:tabs>
        <w:spacing w:after="0"/>
        <w:jc w:val="left"/>
        <w:rPr>
          <w:rFonts w:cs="Arial"/>
          <w:lang w:val="en-US"/>
        </w:rPr>
      </w:pPr>
    </w:p>
    <w:p w14:paraId="6D9519F2" w14:textId="35536308" w:rsidR="007E2FC8" w:rsidRPr="00863065" w:rsidRDefault="007E2FC8" w:rsidP="007E2FC8">
      <w:pPr>
        <w:keepNext/>
        <w:pBdr>
          <w:top w:val="single" w:sz="4" w:space="1" w:color="auto"/>
        </w:pBdr>
        <w:tabs>
          <w:tab w:val="left" w:pos="2552"/>
        </w:tabs>
        <w:ind w:left="2550" w:hanging="2550"/>
        <w:rPr>
          <w:rFonts w:cs="Arial"/>
          <w:b/>
          <w:sz w:val="24"/>
        </w:rPr>
      </w:pPr>
      <w:r w:rsidRPr="00863065">
        <w:rPr>
          <w:rFonts w:cs="Arial"/>
          <w:b/>
          <w:sz w:val="24"/>
        </w:rPr>
        <w:t>Source:</w:t>
      </w:r>
      <w:r w:rsidR="002B674A">
        <w:rPr>
          <w:rFonts w:cs="Arial"/>
          <w:b/>
          <w:sz w:val="24"/>
        </w:rPr>
        <w:tab/>
      </w:r>
      <w:r>
        <w:rPr>
          <w:rFonts w:cs="Arial" w:hint="eastAsia"/>
          <w:b/>
          <w:sz w:val="24"/>
        </w:rPr>
        <w:t>NTT DOCOMO, INC.</w:t>
      </w:r>
    </w:p>
    <w:p w14:paraId="0C115227" w14:textId="605CE43A" w:rsidR="007E2FC8" w:rsidRPr="00863065" w:rsidRDefault="007E2FC8" w:rsidP="002B674A">
      <w:pPr>
        <w:keepNext/>
        <w:pBdr>
          <w:top w:val="single" w:sz="4" w:space="1" w:color="auto"/>
        </w:pBdr>
        <w:tabs>
          <w:tab w:val="left" w:pos="2552"/>
        </w:tabs>
        <w:ind w:left="2550" w:hanging="2550"/>
        <w:rPr>
          <w:rFonts w:cs="Arial"/>
          <w:b/>
          <w:sz w:val="24"/>
        </w:rPr>
      </w:pPr>
      <w:r w:rsidRPr="00863065">
        <w:rPr>
          <w:rFonts w:cs="Arial"/>
          <w:b/>
          <w:sz w:val="24"/>
        </w:rPr>
        <w:t>Title:</w:t>
      </w:r>
      <w:r w:rsidR="002B674A">
        <w:rPr>
          <w:rFonts w:cs="Arial"/>
          <w:b/>
          <w:sz w:val="24"/>
        </w:rPr>
        <w:tab/>
      </w:r>
      <w:r w:rsidR="001A2211">
        <w:rPr>
          <w:rFonts w:cs="Arial" w:hint="eastAsia"/>
          <w:b/>
          <w:sz w:val="24"/>
        </w:rPr>
        <w:t>Discussion on A</w:t>
      </w:r>
      <w:r w:rsidR="009A4223">
        <w:rPr>
          <w:rFonts w:cs="Arial" w:hint="eastAsia"/>
          <w:b/>
          <w:sz w:val="24"/>
        </w:rPr>
        <w:t>-</w:t>
      </w:r>
      <w:r w:rsidR="001A2211">
        <w:rPr>
          <w:rFonts w:cs="Arial" w:hint="eastAsia"/>
          <w:b/>
          <w:sz w:val="24"/>
        </w:rPr>
        <w:t xml:space="preserve">IoT </w:t>
      </w:r>
      <w:r w:rsidR="00550A79">
        <w:rPr>
          <w:rFonts w:cs="Arial" w:hint="eastAsia"/>
          <w:b/>
          <w:sz w:val="24"/>
        </w:rPr>
        <w:t>random access</w:t>
      </w:r>
    </w:p>
    <w:p w14:paraId="0F8951C0" w14:textId="1D455ED6" w:rsidR="007E2FC8" w:rsidRPr="00863065" w:rsidRDefault="007E2FC8" w:rsidP="007E2FC8">
      <w:pPr>
        <w:keepNext/>
        <w:tabs>
          <w:tab w:val="left" w:pos="2552"/>
        </w:tabs>
        <w:rPr>
          <w:rFonts w:cs="Arial"/>
          <w:b/>
          <w:sz w:val="24"/>
        </w:rPr>
      </w:pPr>
      <w:r w:rsidRPr="00863065">
        <w:rPr>
          <w:rFonts w:cs="Arial"/>
          <w:b/>
          <w:sz w:val="24"/>
        </w:rPr>
        <w:t>Document for:</w:t>
      </w:r>
      <w:r w:rsidR="002B674A">
        <w:rPr>
          <w:rFonts w:cs="Arial"/>
          <w:b/>
          <w:sz w:val="24"/>
        </w:rPr>
        <w:tab/>
      </w:r>
      <w:r>
        <w:rPr>
          <w:rFonts w:cs="Arial" w:hint="eastAsia"/>
          <w:b/>
          <w:sz w:val="24"/>
        </w:rPr>
        <w:t>Discussion and decision</w:t>
      </w:r>
    </w:p>
    <w:p w14:paraId="2211F357" w14:textId="2098A6F5" w:rsidR="007E2FC8" w:rsidRPr="00863065" w:rsidRDefault="007E2FC8" w:rsidP="007E2FC8">
      <w:pPr>
        <w:keepNext/>
        <w:pBdr>
          <w:bottom w:val="single" w:sz="4" w:space="1" w:color="auto"/>
        </w:pBdr>
        <w:tabs>
          <w:tab w:val="left" w:pos="2552"/>
        </w:tabs>
        <w:rPr>
          <w:rFonts w:cs="Arial"/>
          <w:b/>
          <w:sz w:val="24"/>
        </w:rPr>
      </w:pPr>
      <w:r w:rsidRPr="00863065">
        <w:rPr>
          <w:rFonts w:cs="Arial"/>
          <w:b/>
          <w:sz w:val="24"/>
        </w:rPr>
        <w:t>Agenda Item:</w:t>
      </w:r>
      <w:r w:rsidR="002B674A">
        <w:rPr>
          <w:rFonts w:cs="Arial"/>
          <w:b/>
          <w:sz w:val="24"/>
        </w:rPr>
        <w:tab/>
      </w:r>
      <w:r w:rsidR="00F90606">
        <w:rPr>
          <w:rFonts w:cs="Arial" w:hint="eastAsia"/>
          <w:b/>
          <w:sz w:val="24"/>
        </w:rPr>
        <w:t>8</w:t>
      </w:r>
      <w:r>
        <w:rPr>
          <w:rFonts w:cs="Arial"/>
          <w:b/>
          <w:sz w:val="24"/>
        </w:rPr>
        <w:t>.</w:t>
      </w:r>
      <w:r w:rsidR="00F90606">
        <w:rPr>
          <w:rFonts w:cs="Arial" w:hint="eastAsia"/>
          <w:b/>
          <w:sz w:val="24"/>
        </w:rPr>
        <w:t>2</w:t>
      </w:r>
      <w:r>
        <w:rPr>
          <w:rFonts w:cs="Arial"/>
          <w:b/>
          <w:sz w:val="24"/>
        </w:rPr>
        <w:t>.</w:t>
      </w:r>
      <w:r w:rsidR="005C447F">
        <w:rPr>
          <w:rFonts w:cs="Arial" w:hint="eastAsia"/>
          <w:b/>
          <w:sz w:val="24"/>
        </w:rPr>
        <w:t>4</w:t>
      </w:r>
    </w:p>
    <w:p w14:paraId="25B11A1D" w14:textId="77777777" w:rsidR="007E2FC8" w:rsidRDefault="007E2FC8" w:rsidP="007E2FC8">
      <w:pPr>
        <w:pStyle w:val="2"/>
        <w:numPr>
          <w:ilvl w:val="0"/>
          <w:numId w:val="1"/>
        </w:numPr>
        <w:rPr>
          <w:rFonts w:cs="Arial"/>
        </w:rPr>
      </w:pPr>
      <w:r w:rsidRPr="00863065">
        <w:rPr>
          <w:rFonts w:cs="Arial"/>
        </w:rPr>
        <w:t>Introduction</w:t>
      </w:r>
    </w:p>
    <w:p w14:paraId="77316EE5" w14:textId="2FE8912A" w:rsidR="002E5888" w:rsidRDefault="002E5888" w:rsidP="002E5888">
      <w:pPr>
        <w:rPr>
          <w:szCs w:val="22"/>
        </w:rPr>
      </w:pPr>
      <w:r>
        <w:rPr>
          <w:rFonts w:hint="eastAsia"/>
          <w:szCs w:val="22"/>
        </w:rPr>
        <w:t xml:space="preserve">This </w:t>
      </w:r>
      <w:r w:rsidR="00F24652">
        <w:rPr>
          <w:szCs w:val="22"/>
        </w:rPr>
        <w:t>contribution</w:t>
      </w:r>
      <w:r>
        <w:rPr>
          <w:rFonts w:hint="eastAsia"/>
          <w:szCs w:val="22"/>
        </w:rPr>
        <w:t xml:space="preserve"> provides our view on open issues related to A-IoT random access procedure.</w:t>
      </w:r>
    </w:p>
    <w:p w14:paraId="6539D872" w14:textId="77777777" w:rsidR="002E5888" w:rsidRPr="00262F8E" w:rsidRDefault="002E5888" w:rsidP="007E2FC8">
      <w:pPr>
        <w:rPr>
          <w:szCs w:val="22"/>
        </w:rPr>
      </w:pPr>
    </w:p>
    <w:p w14:paraId="375CDE38" w14:textId="77777777" w:rsidR="007E2FC8" w:rsidRDefault="007E2FC8" w:rsidP="007E2FC8">
      <w:pPr>
        <w:pStyle w:val="2"/>
        <w:numPr>
          <w:ilvl w:val="0"/>
          <w:numId w:val="2"/>
        </w:numPr>
      </w:pPr>
      <w:r>
        <w:rPr>
          <w:rFonts w:hint="eastAsia"/>
        </w:rPr>
        <w:t>Discussion</w:t>
      </w:r>
    </w:p>
    <w:p w14:paraId="00C5D3A1" w14:textId="6063AC22" w:rsidR="007E2FC8" w:rsidRDefault="002E5888" w:rsidP="007E2FC8">
      <w:pPr>
        <w:pStyle w:val="2"/>
        <w:numPr>
          <w:ilvl w:val="1"/>
          <w:numId w:val="2"/>
        </w:numPr>
        <w:rPr>
          <w:rFonts w:cs="Arial"/>
        </w:rPr>
      </w:pPr>
      <w:r>
        <w:rPr>
          <w:rFonts w:cs="Arial" w:hint="eastAsia"/>
        </w:rPr>
        <w:t>Failure/success indication</w:t>
      </w:r>
    </w:p>
    <w:p w14:paraId="01F2FEF2" w14:textId="07F7990F" w:rsidR="007E2FC8" w:rsidRDefault="00D45E71" w:rsidP="007E2FC8">
      <w:pPr>
        <w:rPr>
          <w:bCs/>
          <w:szCs w:val="22"/>
        </w:rPr>
      </w:pPr>
      <w:r>
        <w:rPr>
          <w:rFonts w:hint="eastAsia"/>
          <w:bCs/>
          <w:szCs w:val="22"/>
        </w:rPr>
        <w:t>In RAN2#127, we agreed to study failure/access indication by A-IoT reader to inform failure/success of D2R messages</w:t>
      </w:r>
      <w:r w:rsidR="00FE7D17">
        <w:rPr>
          <w:rFonts w:hint="eastAsia"/>
          <w:bCs/>
          <w:szCs w:val="22"/>
        </w:rPr>
        <w:t xml:space="preserve"> </w:t>
      </w:r>
      <w:r w:rsidR="0063041D">
        <w:rPr>
          <w:rFonts w:hint="eastAsia"/>
          <w:bCs/>
          <w:szCs w:val="22"/>
        </w:rPr>
        <w:t>[1]</w:t>
      </w:r>
      <w:r>
        <w:rPr>
          <w:rFonts w:hint="eastAsia"/>
          <w:bCs/>
          <w:szCs w:val="22"/>
        </w:rPr>
        <w:t>.</w:t>
      </w:r>
    </w:p>
    <w:p w14:paraId="0134D29D" w14:textId="19784BB4" w:rsidR="00D45E71" w:rsidRPr="00D45E71" w:rsidRDefault="00D45E71" w:rsidP="00D45E71">
      <w:pPr>
        <w:pStyle w:val="Doc-text2"/>
        <w:pBdr>
          <w:top w:val="single" w:sz="4" w:space="1" w:color="auto"/>
          <w:left w:val="single" w:sz="4" w:space="4" w:color="auto"/>
          <w:bottom w:val="single" w:sz="4" w:space="1" w:color="auto"/>
          <w:right w:val="single" w:sz="4" w:space="4" w:color="auto"/>
        </w:pBdr>
        <w:rPr>
          <w:b/>
          <w:bCs/>
          <w:lang w:val="en-US" w:eastAsia="zh-CN"/>
        </w:rPr>
      </w:pPr>
      <w:r w:rsidRPr="00FC6126">
        <w:rPr>
          <w:b/>
          <w:bCs/>
          <w:lang w:val="en-US" w:eastAsia="zh-CN"/>
        </w:rPr>
        <w:t>Agreements</w:t>
      </w:r>
    </w:p>
    <w:p w14:paraId="62807D2B" w14:textId="77777777" w:rsidR="00D45E71" w:rsidRDefault="00D45E71" w:rsidP="00D45E71">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w:t>
      </w:r>
      <w:r>
        <w:rPr>
          <w:lang w:val="en-US" w:eastAsia="zh-CN"/>
        </w:rPr>
        <w:tab/>
      </w:r>
      <w:r w:rsidRPr="00D56C61">
        <w:rPr>
          <w:lang w:val="en-US" w:eastAsia="zh-CN"/>
        </w:rPr>
        <w:t xml:space="preserve">Failure/success indication of </w:t>
      </w:r>
      <w:r>
        <w:rPr>
          <w:lang w:val="en-US" w:eastAsia="zh-CN"/>
        </w:rPr>
        <w:t>D2R</w:t>
      </w:r>
      <w:r w:rsidRPr="00D56C61">
        <w:rPr>
          <w:lang w:val="en-US" w:eastAsia="zh-CN"/>
        </w:rPr>
        <w:t xml:space="preserve"> will be studied.   FFS if it would be implicit or explicit and for which use case it is needed.  FFS whether it is applied only to some cases.  </w:t>
      </w:r>
    </w:p>
    <w:p w14:paraId="50B97B6E" w14:textId="2492D6B0" w:rsidR="00D45E71" w:rsidRDefault="0034760A" w:rsidP="007E2FC8">
      <w:pPr>
        <w:rPr>
          <w:bCs/>
          <w:szCs w:val="22"/>
        </w:rPr>
      </w:pPr>
      <w:r>
        <w:rPr>
          <w:rFonts w:hint="eastAsia"/>
          <w:bCs/>
          <w:szCs w:val="22"/>
        </w:rPr>
        <w:t>In this section, we discuss the need and usecase of failure/success indication for A-IoT Msg3 in 3-step CBRA and A-IoT Msg1 in 2-step CBRA.</w:t>
      </w:r>
    </w:p>
    <w:p w14:paraId="498DFF4E" w14:textId="77777777" w:rsidR="0034760A" w:rsidRDefault="0034760A" w:rsidP="007E2FC8">
      <w:pPr>
        <w:rPr>
          <w:bCs/>
          <w:szCs w:val="22"/>
        </w:rPr>
      </w:pPr>
    </w:p>
    <w:p w14:paraId="5F92691F" w14:textId="73B01DC8" w:rsidR="00D45E71" w:rsidRPr="00D45E71" w:rsidRDefault="00D45E71" w:rsidP="007E2FC8">
      <w:pPr>
        <w:rPr>
          <w:b/>
          <w:szCs w:val="22"/>
          <w:u w:val="single"/>
        </w:rPr>
      </w:pPr>
      <w:r w:rsidRPr="00D45E71">
        <w:rPr>
          <w:rFonts w:hint="eastAsia"/>
          <w:b/>
          <w:szCs w:val="22"/>
          <w:u w:val="single"/>
        </w:rPr>
        <w:t>Indication of failure/success of A-IoT Msg3 in 3-step CBRA</w:t>
      </w:r>
    </w:p>
    <w:p w14:paraId="680CC52F" w14:textId="04F3123D" w:rsidR="00D45E71" w:rsidRDefault="0034760A" w:rsidP="0034760A">
      <w:pPr>
        <w:jc w:val="center"/>
        <w:rPr>
          <w:bCs/>
          <w:szCs w:val="22"/>
        </w:rPr>
      </w:pPr>
      <w:r>
        <w:rPr>
          <w:bCs/>
          <w:noProof/>
          <w:szCs w:val="22"/>
        </w:rPr>
        <w:drawing>
          <wp:inline distT="0" distB="0" distL="0" distR="0" wp14:anchorId="2A2DFED3" wp14:editId="3ACFC45E">
            <wp:extent cx="3443275" cy="2309660"/>
            <wp:effectExtent l="0" t="0" r="5080" b="0"/>
            <wp:docPr id="818236039"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52008" cy="2315518"/>
                    </a:xfrm>
                    <a:prstGeom prst="rect">
                      <a:avLst/>
                    </a:prstGeom>
                    <a:noFill/>
                    <a:ln>
                      <a:noFill/>
                    </a:ln>
                  </pic:spPr>
                </pic:pic>
              </a:graphicData>
            </a:graphic>
          </wp:inline>
        </w:drawing>
      </w:r>
    </w:p>
    <w:p w14:paraId="1F84E4DE" w14:textId="168C01A5" w:rsidR="0034760A" w:rsidRPr="0034760A" w:rsidRDefault="0034760A" w:rsidP="0034760A">
      <w:pPr>
        <w:jc w:val="center"/>
        <w:rPr>
          <w:b/>
          <w:szCs w:val="22"/>
        </w:rPr>
      </w:pPr>
      <w:r w:rsidRPr="0034760A">
        <w:rPr>
          <w:rFonts w:hint="eastAsia"/>
          <w:b/>
          <w:szCs w:val="22"/>
        </w:rPr>
        <w:t xml:space="preserve">Figure </w:t>
      </w:r>
      <w:r w:rsidR="00DA1B6B">
        <w:rPr>
          <w:rFonts w:hint="eastAsia"/>
          <w:b/>
          <w:szCs w:val="22"/>
        </w:rPr>
        <w:t>1</w:t>
      </w:r>
      <w:r w:rsidRPr="0034760A">
        <w:rPr>
          <w:rFonts w:hint="eastAsia"/>
          <w:b/>
          <w:szCs w:val="22"/>
        </w:rPr>
        <w:t>. 3-step CBRA procedure</w:t>
      </w:r>
    </w:p>
    <w:p w14:paraId="1998D2D0" w14:textId="77777777" w:rsidR="002E5516" w:rsidRDefault="002E5516" w:rsidP="002E5516">
      <w:pPr>
        <w:rPr>
          <w:bCs/>
          <w:szCs w:val="22"/>
        </w:rPr>
      </w:pPr>
      <w:r>
        <w:rPr>
          <w:rFonts w:hint="eastAsia"/>
          <w:bCs/>
          <w:szCs w:val="22"/>
        </w:rPr>
        <w:t>Before 3-step CBRA, the reader transmits A-IoT paging message to targeted device(s) or to every device (without targeting to specific devices).</w:t>
      </w:r>
    </w:p>
    <w:p w14:paraId="0C7F7DC5" w14:textId="2F6D79D7" w:rsidR="0034760A" w:rsidRDefault="002E5516" w:rsidP="002E5516">
      <w:pPr>
        <w:rPr>
          <w:bCs/>
          <w:szCs w:val="22"/>
        </w:rPr>
      </w:pPr>
      <w:r>
        <w:rPr>
          <w:rFonts w:hint="eastAsia"/>
          <w:bCs/>
          <w:szCs w:val="22"/>
        </w:rPr>
        <w:t>Then the reader would receive D2R A-IoT Msg1 which includes a random ID generated in a device. Please note that we have not agreed to allow devices to indicate a device ID in A-IoT Msg1, therefore the reader cannot know which device transmitted the Msg1.</w:t>
      </w:r>
    </w:p>
    <w:p w14:paraId="6CB98CA0" w14:textId="0B873584" w:rsidR="002E5516" w:rsidRDefault="002E5516" w:rsidP="002E5516">
      <w:pPr>
        <w:rPr>
          <w:bCs/>
          <w:szCs w:val="22"/>
        </w:rPr>
      </w:pPr>
      <w:r>
        <w:rPr>
          <w:rFonts w:hint="eastAsia"/>
          <w:bCs/>
          <w:szCs w:val="22"/>
        </w:rPr>
        <w:t>The random ID included in the Msg1 is echoed in following R2D A-IoT Msg2.</w:t>
      </w:r>
    </w:p>
    <w:p w14:paraId="18A04E57" w14:textId="346DE053" w:rsidR="006F7C82" w:rsidRDefault="002E5516" w:rsidP="002E5516">
      <w:pPr>
        <w:rPr>
          <w:bCs/>
          <w:szCs w:val="22"/>
        </w:rPr>
      </w:pPr>
      <w:r>
        <w:rPr>
          <w:rFonts w:hint="eastAsia"/>
          <w:bCs/>
          <w:szCs w:val="22"/>
        </w:rPr>
        <w:lastRenderedPageBreak/>
        <w:t>In A-IoT Msg3 the device transmits upper layer message, which the reader transparently forward to the CN.</w:t>
      </w:r>
      <w:r>
        <w:rPr>
          <w:bCs/>
          <w:szCs w:val="22"/>
        </w:rPr>
        <w:t xml:space="preserve"> </w:t>
      </w:r>
    </w:p>
    <w:p w14:paraId="0781D98B" w14:textId="438F4FC7" w:rsidR="006F7C82" w:rsidRDefault="002E5516" w:rsidP="002E5516">
      <w:pPr>
        <w:rPr>
          <w:bCs/>
          <w:szCs w:val="22"/>
        </w:rPr>
      </w:pPr>
      <w:r>
        <w:rPr>
          <w:rFonts w:hint="eastAsia"/>
          <w:bCs/>
          <w:szCs w:val="22"/>
        </w:rPr>
        <w:t xml:space="preserve">Now we would like to discuss how the reader indicates the </w:t>
      </w:r>
      <w:r w:rsidR="00F24652">
        <w:rPr>
          <w:bCs/>
          <w:szCs w:val="22"/>
        </w:rPr>
        <w:t>recipients</w:t>
      </w:r>
      <w:r>
        <w:rPr>
          <w:rFonts w:hint="eastAsia"/>
          <w:bCs/>
          <w:szCs w:val="22"/>
        </w:rPr>
        <w:t xml:space="preserve"> of failure/success indication of A-IoT Msg3. The Msg3 would content a permanent device ID (if it is in inventory usecase or inventory and command usecase), but the </w:t>
      </w:r>
      <w:r w:rsidR="00773575">
        <w:rPr>
          <w:rFonts w:hint="eastAsia"/>
          <w:bCs/>
          <w:szCs w:val="22"/>
        </w:rPr>
        <w:t xml:space="preserve">permanent ID is assumed to delivered in upper layer message that the reader cannot decode. This means that, as depicted in Figure </w:t>
      </w:r>
      <w:r w:rsidR="00DA1B6B">
        <w:rPr>
          <w:rFonts w:hint="eastAsia"/>
          <w:bCs/>
          <w:szCs w:val="22"/>
        </w:rPr>
        <w:t>2</w:t>
      </w:r>
      <w:r w:rsidR="00773575">
        <w:rPr>
          <w:rFonts w:hint="eastAsia"/>
          <w:bCs/>
          <w:szCs w:val="22"/>
        </w:rPr>
        <w:t>, the reader cannot know from which device the reader successfully received the Msg3. The opposite is also true, i.e., the reader cannot know from which device the reader failed to receive Msg3.</w:t>
      </w:r>
    </w:p>
    <w:p w14:paraId="3B25348F" w14:textId="6A1695A7" w:rsidR="00773575" w:rsidRDefault="00773575" w:rsidP="00DA1B6B">
      <w:pPr>
        <w:jc w:val="center"/>
        <w:rPr>
          <w:bCs/>
          <w:szCs w:val="22"/>
        </w:rPr>
      </w:pPr>
      <w:r>
        <w:rPr>
          <w:bCs/>
          <w:noProof/>
          <w:szCs w:val="22"/>
        </w:rPr>
        <w:drawing>
          <wp:inline distT="0" distB="0" distL="0" distR="0" wp14:anchorId="40E254A2" wp14:editId="3111F97D">
            <wp:extent cx="5245427" cy="2121408"/>
            <wp:effectExtent l="0" t="0" r="0" b="0"/>
            <wp:docPr id="26856998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64458" cy="2129105"/>
                    </a:xfrm>
                    <a:prstGeom prst="rect">
                      <a:avLst/>
                    </a:prstGeom>
                    <a:noFill/>
                    <a:ln>
                      <a:noFill/>
                    </a:ln>
                  </pic:spPr>
                </pic:pic>
              </a:graphicData>
            </a:graphic>
          </wp:inline>
        </w:drawing>
      </w:r>
    </w:p>
    <w:p w14:paraId="1EEDA965" w14:textId="586FFB4E" w:rsidR="00773575" w:rsidRPr="0034760A" w:rsidRDefault="00773575" w:rsidP="00773575">
      <w:pPr>
        <w:jc w:val="center"/>
        <w:rPr>
          <w:b/>
          <w:szCs w:val="22"/>
        </w:rPr>
      </w:pPr>
      <w:r w:rsidRPr="0034760A">
        <w:rPr>
          <w:rFonts w:hint="eastAsia"/>
          <w:b/>
          <w:szCs w:val="22"/>
        </w:rPr>
        <w:t xml:space="preserve">Figure </w:t>
      </w:r>
      <w:r w:rsidR="00DA1B6B">
        <w:rPr>
          <w:rFonts w:hint="eastAsia"/>
          <w:b/>
          <w:szCs w:val="22"/>
        </w:rPr>
        <w:t>2</w:t>
      </w:r>
      <w:r w:rsidRPr="0034760A">
        <w:rPr>
          <w:rFonts w:hint="eastAsia"/>
          <w:b/>
          <w:szCs w:val="22"/>
        </w:rPr>
        <w:t xml:space="preserve">. </w:t>
      </w:r>
      <w:r>
        <w:rPr>
          <w:rFonts w:hint="eastAsia"/>
          <w:b/>
          <w:szCs w:val="22"/>
        </w:rPr>
        <w:t xml:space="preserve">Indication of device identity in </w:t>
      </w:r>
      <w:r w:rsidRPr="0034760A">
        <w:rPr>
          <w:rFonts w:hint="eastAsia"/>
          <w:b/>
          <w:szCs w:val="22"/>
        </w:rPr>
        <w:t>3-step CBRA procedure</w:t>
      </w:r>
    </w:p>
    <w:p w14:paraId="692EA743" w14:textId="19206AF5" w:rsidR="006F7C82" w:rsidRDefault="00773575" w:rsidP="00DA1B6B">
      <w:pPr>
        <w:rPr>
          <w:bCs/>
          <w:szCs w:val="22"/>
        </w:rPr>
      </w:pPr>
      <w:r>
        <w:rPr>
          <w:rFonts w:hint="eastAsia"/>
          <w:bCs/>
          <w:szCs w:val="22"/>
        </w:rPr>
        <w:t>We think that a simple solution is</w:t>
      </w:r>
      <w:r w:rsidR="00DA1B6B">
        <w:rPr>
          <w:rFonts w:hint="eastAsia"/>
          <w:bCs/>
          <w:szCs w:val="22"/>
        </w:rPr>
        <w:t xml:space="preserve"> to let the device to indicate the random ID in A-IoT Msg3 which is same as the random ID reported in A-IoT Msg1. Then the reader can inform random IDs, which is determined based on successfully received A-IoT Msg3, in the failure/success indication as </w:t>
      </w:r>
      <w:r w:rsidR="00F24652">
        <w:rPr>
          <w:bCs/>
          <w:szCs w:val="22"/>
        </w:rPr>
        <w:t>recipients</w:t>
      </w:r>
      <w:r w:rsidR="00DA1B6B">
        <w:rPr>
          <w:rFonts w:hint="eastAsia"/>
          <w:bCs/>
          <w:szCs w:val="22"/>
        </w:rPr>
        <w:t xml:space="preserve"> of the indication.</w:t>
      </w:r>
    </w:p>
    <w:p w14:paraId="0AD4E7EE" w14:textId="59D298B2" w:rsidR="006F7C82" w:rsidRDefault="006F7C82" w:rsidP="006F7C82">
      <w:pPr>
        <w:pStyle w:val="ObservationandProposal"/>
      </w:pPr>
      <w:r>
        <w:rPr>
          <w:rFonts w:hint="eastAsia"/>
        </w:rPr>
        <w:t xml:space="preserve">Proposal </w:t>
      </w:r>
      <w:r w:rsidR="0063041D">
        <w:rPr>
          <w:rFonts w:hint="eastAsia"/>
        </w:rPr>
        <w:t>1</w:t>
      </w:r>
      <w:r>
        <w:rPr>
          <w:rFonts w:hint="eastAsia"/>
        </w:rPr>
        <w:t>.</w:t>
      </w:r>
      <w:r>
        <w:tab/>
      </w:r>
      <w:r>
        <w:rPr>
          <w:rFonts w:hint="eastAsia"/>
        </w:rPr>
        <w:t xml:space="preserve">For 3-step CBRA, the device informs the random ID (same as </w:t>
      </w:r>
      <w:r w:rsidR="002E5516">
        <w:rPr>
          <w:rFonts w:hint="eastAsia"/>
        </w:rPr>
        <w:t xml:space="preserve">that in </w:t>
      </w:r>
      <w:r>
        <w:rPr>
          <w:rFonts w:hint="eastAsia"/>
        </w:rPr>
        <w:t xml:space="preserve">A-IoT Msg1) in </w:t>
      </w:r>
      <w:r w:rsidR="002E5516">
        <w:rPr>
          <w:rFonts w:hint="eastAsia"/>
        </w:rPr>
        <w:t xml:space="preserve">A-IoT </w:t>
      </w:r>
      <w:r>
        <w:rPr>
          <w:rFonts w:hint="eastAsia"/>
        </w:rPr>
        <w:t>Msg3.</w:t>
      </w:r>
    </w:p>
    <w:p w14:paraId="5E6BBDEB" w14:textId="3E2515B8" w:rsidR="0034760A" w:rsidRDefault="006F7C82" w:rsidP="006F7C82">
      <w:pPr>
        <w:pStyle w:val="ObservationandProposal"/>
      </w:pPr>
      <w:r>
        <w:rPr>
          <w:rFonts w:hint="eastAsia"/>
        </w:rPr>
        <w:t xml:space="preserve">Proposal </w:t>
      </w:r>
      <w:r w:rsidR="0063041D">
        <w:rPr>
          <w:rFonts w:hint="eastAsia"/>
        </w:rPr>
        <w:t>2</w:t>
      </w:r>
      <w:r>
        <w:rPr>
          <w:rFonts w:hint="eastAsia"/>
        </w:rPr>
        <w:t>.</w:t>
      </w:r>
      <w:r>
        <w:tab/>
      </w:r>
      <w:r>
        <w:rPr>
          <w:rFonts w:hint="eastAsia"/>
        </w:rPr>
        <w:t xml:space="preserve">For 3-step CBRA, the R2D message for failure/success indication of A-IoT Msg3 includes random ID(s) </w:t>
      </w:r>
      <w:r w:rsidR="002E5516">
        <w:rPr>
          <w:rFonts w:hint="eastAsia"/>
        </w:rPr>
        <w:t>that the reader finds missing</w:t>
      </w:r>
      <w:r w:rsidR="004F2956">
        <w:rPr>
          <w:rFonts w:hint="eastAsia"/>
        </w:rPr>
        <w:t xml:space="preserve"> or successfully received</w:t>
      </w:r>
      <w:r w:rsidR="002E5516">
        <w:rPr>
          <w:rFonts w:hint="eastAsia"/>
        </w:rPr>
        <w:t>.</w:t>
      </w:r>
    </w:p>
    <w:p w14:paraId="59E225E1" w14:textId="7B622F15" w:rsidR="003457D1" w:rsidRDefault="003457D1" w:rsidP="00DA1B6B">
      <w:r>
        <w:rPr>
          <w:rFonts w:hint="eastAsia"/>
        </w:rPr>
        <w:t xml:space="preserve">Moreover, we are wondering if the </w:t>
      </w:r>
      <w:r>
        <w:t>“</w:t>
      </w:r>
      <w:r>
        <w:rPr>
          <w:rFonts w:hint="eastAsia"/>
        </w:rPr>
        <w:t>success indication</w:t>
      </w:r>
      <w:r>
        <w:t>”</w:t>
      </w:r>
      <w:r>
        <w:rPr>
          <w:rFonts w:hint="eastAsia"/>
        </w:rPr>
        <w:t xml:space="preserve"> from the reader is correct/can be trusted. This is because, as shown in Figure 3, the last message of A-IoT random access procedure is upper layer message which the reader cannot decode. It is the CN that can judge whether the message is finally successfully decoded. On the other hand, at least the failure indication by the reader is always correct, thus we prefer to only support failure indication by the reader.</w:t>
      </w:r>
    </w:p>
    <w:p w14:paraId="18E8D172" w14:textId="24B65969" w:rsidR="004B45C9" w:rsidRDefault="004B45C9" w:rsidP="00DA1B6B">
      <w:r>
        <w:rPr>
          <w:rFonts w:hint="eastAsia"/>
        </w:rPr>
        <w:t>Therefore, we would like to just clarify that the success indication by the reader means completion of the A-IoT random access procedure but does not mean that the upper layer procedure (e.g. inventory) is successfully completed.</w:t>
      </w:r>
    </w:p>
    <w:p w14:paraId="6D0832D2" w14:textId="77777777" w:rsidR="00DA1B6B" w:rsidRDefault="00DA1B6B" w:rsidP="00DA1B6B">
      <w:pPr>
        <w:jc w:val="center"/>
        <w:rPr>
          <w:bCs/>
          <w:szCs w:val="22"/>
        </w:rPr>
      </w:pPr>
      <w:r>
        <w:rPr>
          <w:bCs/>
          <w:noProof/>
          <w:szCs w:val="22"/>
        </w:rPr>
        <w:drawing>
          <wp:inline distT="0" distB="0" distL="0" distR="0" wp14:anchorId="0A878C7D" wp14:editId="6C82A371">
            <wp:extent cx="5026178" cy="1974338"/>
            <wp:effectExtent l="0" t="0" r="0" b="6985"/>
            <wp:docPr id="1411688700" name="図 8"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688700" name="図 8" descr="ダイアグラム&#10;&#10;自動的に生成された説明"/>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9565" cy="1983525"/>
                    </a:xfrm>
                    <a:prstGeom prst="rect">
                      <a:avLst/>
                    </a:prstGeom>
                    <a:noFill/>
                    <a:ln>
                      <a:noFill/>
                    </a:ln>
                  </pic:spPr>
                </pic:pic>
              </a:graphicData>
            </a:graphic>
          </wp:inline>
        </w:drawing>
      </w:r>
    </w:p>
    <w:p w14:paraId="6E92A317" w14:textId="0AA11EBC" w:rsidR="00DA1B6B" w:rsidRPr="003457D1" w:rsidRDefault="00DA1B6B" w:rsidP="00DA1B6B">
      <w:pPr>
        <w:jc w:val="center"/>
        <w:rPr>
          <w:b/>
          <w:szCs w:val="22"/>
        </w:rPr>
      </w:pPr>
      <w:r w:rsidRPr="003457D1">
        <w:rPr>
          <w:rFonts w:hint="eastAsia"/>
          <w:b/>
          <w:szCs w:val="22"/>
        </w:rPr>
        <w:lastRenderedPageBreak/>
        <w:t xml:space="preserve">Figure </w:t>
      </w:r>
      <w:r w:rsidR="003457D1">
        <w:rPr>
          <w:rFonts w:hint="eastAsia"/>
          <w:b/>
          <w:szCs w:val="22"/>
        </w:rPr>
        <w:t>3</w:t>
      </w:r>
      <w:r w:rsidRPr="003457D1">
        <w:rPr>
          <w:rFonts w:hint="eastAsia"/>
          <w:b/>
          <w:szCs w:val="22"/>
        </w:rPr>
        <w:t xml:space="preserve">. </w:t>
      </w:r>
      <w:r w:rsidR="003457D1" w:rsidRPr="003457D1">
        <w:rPr>
          <w:rFonts w:hint="eastAsia"/>
          <w:b/>
          <w:szCs w:val="22"/>
        </w:rPr>
        <w:t>Only the CN can judge s</w:t>
      </w:r>
      <w:r w:rsidRPr="003457D1">
        <w:rPr>
          <w:rFonts w:hint="eastAsia"/>
          <w:b/>
          <w:szCs w:val="22"/>
        </w:rPr>
        <w:t>uccess</w:t>
      </w:r>
      <w:r w:rsidR="003457D1" w:rsidRPr="003457D1">
        <w:rPr>
          <w:rFonts w:hint="eastAsia"/>
          <w:b/>
          <w:szCs w:val="22"/>
        </w:rPr>
        <w:t>ful completion?</w:t>
      </w:r>
    </w:p>
    <w:p w14:paraId="140DA438" w14:textId="4D495D98" w:rsidR="002E5888" w:rsidRDefault="002E5888" w:rsidP="002E5888">
      <w:pPr>
        <w:pStyle w:val="ObservationandProposal"/>
      </w:pPr>
      <w:r>
        <w:rPr>
          <w:rFonts w:hint="eastAsia"/>
        </w:rPr>
        <w:t xml:space="preserve">Proposal </w:t>
      </w:r>
      <w:r w:rsidR="0063041D">
        <w:rPr>
          <w:rFonts w:hint="eastAsia"/>
        </w:rPr>
        <w:t>3</w:t>
      </w:r>
      <w:r>
        <w:rPr>
          <w:rFonts w:hint="eastAsia"/>
        </w:rPr>
        <w:t>.</w:t>
      </w:r>
      <w:r>
        <w:tab/>
      </w:r>
      <w:r>
        <w:rPr>
          <w:rFonts w:hint="eastAsia"/>
        </w:rPr>
        <w:t xml:space="preserve">For 3-step CBRA, </w:t>
      </w:r>
      <w:r w:rsidR="004B45C9">
        <w:rPr>
          <w:rFonts w:hint="eastAsia"/>
        </w:rPr>
        <w:t>success indication does not mean upper layer procedure (e.g. inventory) is successfully completed.</w:t>
      </w:r>
    </w:p>
    <w:p w14:paraId="3538BA27" w14:textId="77777777" w:rsidR="002E5888" w:rsidRDefault="002E5888" w:rsidP="007E2FC8">
      <w:pPr>
        <w:rPr>
          <w:bCs/>
          <w:szCs w:val="22"/>
        </w:rPr>
      </w:pPr>
    </w:p>
    <w:p w14:paraId="21C8405A" w14:textId="2BBE5A74" w:rsidR="0034760A" w:rsidRPr="00D45E71" w:rsidRDefault="0034760A" w:rsidP="0034760A">
      <w:pPr>
        <w:rPr>
          <w:b/>
          <w:szCs w:val="22"/>
          <w:u w:val="single"/>
        </w:rPr>
      </w:pPr>
      <w:r w:rsidRPr="00D45E71">
        <w:rPr>
          <w:rFonts w:hint="eastAsia"/>
          <w:b/>
          <w:szCs w:val="22"/>
          <w:u w:val="single"/>
        </w:rPr>
        <w:t>Indication of failure/success of A-IoT Msg</w:t>
      </w:r>
      <w:r>
        <w:rPr>
          <w:rFonts w:hint="eastAsia"/>
          <w:b/>
          <w:szCs w:val="22"/>
          <w:u w:val="single"/>
        </w:rPr>
        <w:t>1</w:t>
      </w:r>
      <w:r w:rsidRPr="00D45E71">
        <w:rPr>
          <w:rFonts w:hint="eastAsia"/>
          <w:b/>
          <w:szCs w:val="22"/>
          <w:u w:val="single"/>
        </w:rPr>
        <w:t xml:space="preserve"> in </w:t>
      </w:r>
      <w:r>
        <w:rPr>
          <w:rFonts w:hint="eastAsia"/>
          <w:b/>
          <w:szCs w:val="22"/>
          <w:u w:val="single"/>
        </w:rPr>
        <w:t>2</w:t>
      </w:r>
      <w:r w:rsidRPr="00D45E71">
        <w:rPr>
          <w:rFonts w:hint="eastAsia"/>
          <w:b/>
          <w:szCs w:val="22"/>
          <w:u w:val="single"/>
        </w:rPr>
        <w:t>-step CBRA</w:t>
      </w:r>
    </w:p>
    <w:p w14:paraId="3E08BE61" w14:textId="2AB4C8E6" w:rsidR="0034760A" w:rsidRDefault="004B45C9" w:rsidP="0034760A">
      <w:pPr>
        <w:jc w:val="center"/>
        <w:rPr>
          <w:bCs/>
          <w:szCs w:val="22"/>
        </w:rPr>
      </w:pPr>
      <w:r>
        <w:rPr>
          <w:bCs/>
          <w:noProof/>
          <w:szCs w:val="22"/>
        </w:rPr>
        <w:drawing>
          <wp:inline distT="0" distB="0" distL="0" distR="0" wp14:anchorId="06AABA68" wp14:editId="741CF114">
            <wp:extent cx="4695902" cy="1498275"/>
            <wp:effectExtent l="0" t="0" r="0" b="6985"/>
            <wp:docPr id="101794335"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16241" cy="1504764"/>
                    </a:xfrm>
                    <a:prstGeom prst="rect">
                      <a:avLst/>
                    </a:prstGeom>
                    <a:noFill/>
                    <a:ln>
                      <a:noFill/>
                    </a:ln>
                  </pic:spPr>
                </pic:pic>
              </a:graphicData>
            </a:graphic>
          </wp:inline>
        </w:drawing>
      </w:r>
    </w:p>
    <w:p w14:paraId="5497F0AD" w14:textId="44F2E24C" w:rsidR="0034760A" w:rsidRPr="0034760A" w:rsidRDefault="0034760A" w:rsidP="0034760A">
      <w:pPr>
        <w:jc w:val="center"/>
        <w:rPr>
          <w:b/>
          <w:szCs w:val="22"/>
        </w:rPr>
      </w:pPr>
      <w:r w:rsidRPr="0034760A">
        <w:rPr>
          <w:rFonts w:hint="eastAsia"/>
          <w:b/>
          <w:szCs w:val="22"/>
        </w:rPr>
        <w:t xml:space="preserve">Figure </w:t>
      </w:r>
      <w:r w:rsidR="003457D1">
        <w:rPr>
          <w:rFonts w:hint="eastAsia"/>
          <w:b/>
          <w:szCs w:val="22"/>
        </w:rPr>
        <w:t>4</w:t>
      </w:r>
      <w:r w:rsidRPr="0034760A">
        <w:rPr>
          <w:rFonts w:hint="eastAsia"/>
          <w:b/>
          <w:szCs w:val="22"/>
        </w:rPr>
        <w:t xml:space="preserve">. </w:t>
      </w:r>
      <w:r>
        <w:rPr>
          <w:rFonts w:hint="eastAsia"/>
          <w:b/>
          <w:szCs w:val="22"/>
        </w:rPr>
        <w:t>2</w:t>
      </w:r>
      <w:r w:rsidRPr="0034760A">
        <w:rPr>
          <w:rFonts w:hint="eastAsia"/>
          <w:b/>
          <w:szCs w:val="22"/>
        </w:rPr>
        <w:t>-step CBRA procedure</w:t>
      </w:r>
    </w:p>
    <w:p w14:paraId="52F86D96" w14:textId="61E0C053" w:rsidR="0034760A" w:rsidRDefault="003457D1" w:rsidP="007E2FC8">
      <w:pPr>
        <w:rPr>
          <w:bCs/>
          <w:szCs w:val="22"/>
        </w:rPr>
      </w:pPr>
      <w:r>
        <w:rPr>
          <w:rFonts w:hint="eastAsia"/>
          <w:bCs/>
          <w:szCs w:val="22"/>
        </w:rPr>
        <w:t xml:space="preserve">For 2-step CBRA, </w:t>
      </w:r>
      <w:r w:rsidR="00FD00B1">
        <w:rPr>
          <w:rFonts w:hint="eastAsia"/>
          <w:bCs/>
          <w:szCs w:val="22"/>
        </w:rPr>
        <w:t xml:space="preserve">we would like to point out that </w:t>
      </w:r>
      <w:r>
        <w:rPr>
          <w:rFonts w:hint="eastAsia"/>
          <w:bCs/>
          <w:szCs w:val="22"/>
        </w:rPr>
        <w:t>the reader can only know random IDs which is successfully received by the reader</w:t>
      </w:r>
      <w:r w:rsidR="00FD00B1">
        <w:rPr>
          <w:rFonts w:hint="eastAsia"/>
          <w:bCs/>
          <w:szCs w:val="22"/>
        </w:rPr>
        <w:t>, while the permanent device IDs are reported via upper layer message in Msg1 thus the reader cannot be aware. Therefore, in our understanding,</w:t>
      </w:r>
      <w:r w:rsidR="004B45C9">
        <w:rPr>
          <w:rFonts w:hint="eastAsia"/>
          <w:bCs/>
          <w:szCs w:val="22"/>
        </w:rPr>
        <w:t xml:space="preserve"> the reader can only indicate successful completion of 2-step CBRA, by indicating received random IDs</w:t>
      </w:r>
      <w:r w:rsidR="00FD00B1">
        <w:rPr>
          <w:rFonts w:hint="eastAsia"/>
          <w:bCs/>
          <w:szCs w:val="22"/>
        </w:rPr>
        <w:t>.</w:t>
      </w:r>
    </w:p>
    <w:p w14:paraId="4A6B1089" w14:textId="7C68D046" w:rsidR="002E5888" w:rsidRDefault="002E5888" w:rsidP="002E5888">
      <w:pPr>
        <w:pStyle w:val="ObservationandProposal"/>
      </w:pPr>
      <w:r>
        <w:rPr>
          <w:rFonts w:hint="eastAsia"/>
        </w:rPr>
        <w:t xml:space="preserve">Proposal </w:t>
      </w:r>
      <w:r w:rsidR="0063041D">
        <w:rPr>
          <w:rFonts w:hint="eastAsia"/>
        </w:rPr>
        <w:t>4</w:t>
      </w:r>
      <w:r>
        <w:rPr>
          <w:rFonts w:hint="eastAsia"/>
        </w:rPr>
        <w:t>.</w:t>
      </w:r>
      <w:r>
        <w:tab/>
      </w:r>
      <w:r w:rsidR="004B45C9">
        <w:rPr>
          <w:rFonts w:hint="eastAsia"/>
        </w:rPr>
        <w:t xml:space="preserve">For 2-step CBRA, </w:t>
      </w:r>
      <w:r w:rsidR="004F2956">
        <w:rPr>
          <w:rFonts w:hint="eastAsia"/>
        </w:rPr>
        <w:t>the R2D message for success indication of A-IoT Msg1 includes random ID(s) that the reader finds successfully received.</w:t>
      </w:r>
    </w:p>
    <w:p w14:paraId="555C2101" w14:textId="5BCF0AF5" w:rsidR="002E5888" w:rsidRDefault="004F2956" w:rsidP="007E2FC8">
      <w:pPr>
        <w:rPr>
          <w:bCs/>
          <w:szCs w:val="22"/>
        </w:rPr>
      </w:pPr>
      <w:r>
        <w:rPr>
          <w:rFonts w:hint="eastAsia"/>
          <w:bCs/>
          <w:szCs w:val="22"/>
        </w:rPr>
        <w:t>In the same way as 3-step CBRA, we believe that the success indication of A-IoT Msg1 does not mean completion of upper layer procedure (e.g. inventory).</w:t>
      </w:r>
    </w:p>
    <w:p w14:paraId="69285BCF" w14:textId="2CEEEA6E" w:rsidR="004F2956" w:rsidRDefault="004F2956" w:rsidP="004F2956">
      <w:pPr>
        <w:pStyle w:val="ObservationandProposal"/>
      </w:pPr>
      <w:r>
        <w:rPr>
          <w:rFonts w:hint="eastAsia"/>
        </w:rPr>
        <w:t xml:space="preserve">Proposal </w:t>
      </w:r>
      <w:r w:rsidR="0063041D">
        <w:rPr>
          <w:rFonts w:hint="eastAsia"/>
        </w:rPr>
        <w:t>5</w:t>
      </w:r>
      <w:r>
        <w:rPr>
          <w:rFonts w:hint="eastAsia"/>
        </w:rPr>
        <w:t>.</w:t>
      </w:r>
      <w:r>
        <w:tab/>
      </w:r>
      <w:r>
        <w:rPr>
          <w:rFonts w:hint="eastAsia"/>
        </w:rPr>
        <w:t>For 2-step CBRA, success indication does not mean upper layer procedure (e.g. inventory) is successfully completed.</w:t>
      </w:r>
    </w:p>
    <w:p w14:paraId="44E8F144" w14:textId="77777777" w:rsidR="0083168F" w:rsidRPr="00262F8E" w:rsidRDefault="0083168F" w:rsidP="007E2FC8">
      <w:pPr>
        <w:rPr>
          <w:szCs w:val="22"/>
        </w:rPr>
      </w:pPr>
    </w:p>
    <w:p w14:paraId="56E25677" w14:textId="77777777" w:rsidR="007E2FC8" w:rsidRDefault="007E2FC8" w:rsidP="007E2FC8">
      <w:pPr>
        <w:pStyle w:val="2"/>
        <w:numPr>
          <w:ilvl w:val="0"/>
          <w:numId w:val="2"/>
        </w:numPr>
      </w:pPr>
      <w:r>
        <w:rPr>
          <w:rFonts w:hint="eastAsia"/>
        </w:rPr>
        <w:t>Summary and proposal</w:t>
      </w:r>
    </w:p>
    <w:p w14:paraId="49FB2264" w14:textId="77777777" w:rsidR="0063041D" w:rsidRDefault="0063041D" w:rsidP="0063041D">
      <w:pPr>
        <w:pStyle w:val="ObservationandProposal"/>
      </w:pPr>
      <w:r>
        <w:rPr>
          <w:rFonts w:hint="eastAsia"/>
        </w:rPr>
        <w:t>Proposal 1.</w:t>
      </w:r>
      <w:r>
        <w:tab/>
      </w:r>
      <w:r>
        <w:rPr>
          <w:rFonts w:hint="eastAsia"/>
        </w:rPr>
        <w:t>For 3-step CBRA, the device informs the random ID (same as that in A-IoT Msg1) in A-IoT Msg3.</w:t>
      </w:r>
    </w:p>
    <w:p w14:paraId="4263387C" w14:textId="77777777" w:rsidR="0063041D" w:rsidRDefault="0063041D" w:rsidP="0063041D">
      <w:pPr>
        <w:pStyle w:val="ObservationandProposal"/>
      </w:pPr>
      <w:r>
        <w:rPr>
          <w:rFonts w:hint="eastAsia"/>
        </w:rPr>
        <w:t>Proposal 2.</w:t>
      </w:r>
      <w:r>
        <w:tab/>
      </w:r>
      <w:r>
        <w:rPr>
          <w:rFonts w:hint="eastAsia"/>
        </w:rPr>
        <w:t>For 3-step CBRA, the R2D message for failure/success indication of A-IoT Msg3 includes random ID(s) that the reader finds missing or successfully received.</w:t>
      </w:r>
    </w:p>
    <w:p w14:paraId="47E20780" w14:textId="77777777" w:rsidR="0063041D" w:rsidRDefault="0063041D" w:rsidP="0063041D">
      <w:pPr>
        <w:pStyle w:val="ObservationandProposal"/>
      </w:pPr>
      <w:r>
        <w:rPr>
          <w:rFonts w:hint="eastAsia"/>
        </w:rPr>
        <w:t>Proposal 3.</w:t>
      </w:r>
      <w:r>
        <w:tab/>
      </w:r>
      <w:r>
        <w:rPr>
          <w:rFonts w:hint="eastAsia"/>
        </w:rPr>
        <w:t>For 3-step CBRA, success indication does not mean upper layer procedure (e.g. inventory) is successfully completed.</w:t>
      </w:r>
    </w:p>
    <w:p w14:paraId="3E4D50C3" w14:textId="77777777" w:rsidR="0063041D" w:rsidRDefault="0063041D" w:rsidP="0063041D">
      <w:pPr>
        <w:pStyle w:val="ObservationandProposal"/>
      </w:pPr>
      <w:r>
        <w:rPr>
          <w:rFonts w:hint="eastAsia"/>
        </w:rPr>
        <w:t>Proposal 4.</w:t>
      </w:r>
      <w:r>
        <w:tab/>
      </w:r>
      <w:r>
        <w:rPr>
          <w:rFonts w:hint="eastAsia"/>
        </w:rPr>
        <w:t>For 2-step CBRA, the R2D message for success indication of A-IoT Msg1 includes random ID(s) that the reader finds successfully received.</w:t>
      </w:r>
    </w:p>
    <w:p w14:paraId="66FBFD96" w14:textId="77777777" w:rsidR="0063041D" w:rsidRDefault="0063041D" w:rsidP="0063041D">
      <w:pPr>
        <w:pStyle w:val="ObservationandProposal"/>
      </w:pPr>
      <w:r>
        <w:rPr>
          <w:rFonts w:hint="eastAsia"/>
        </w:rPr>
        <w:t>Proposal 5.</w:t>
      </w:r>
      <w:r>
        <w:tab/>
      </w:r>
      <w:r>
        <w:rPr>
          <w:rFonts w:hint="eastAsia"/>
        </w:rPr>
        <w:t>For 2-step CBRA, success indication does not mean upper layer procedure (e.g. inventory) is successfully completed.</w:t>
      </w:r>
    </w:p>
    <w:p w14:paraId="021FD226" w14:textId="77777777" w:rsidR="00C97CFC" w:rsidRPr="00262F8E" w:rsidRDefault="00C97CFC" w:rsidP="007E2FC8">
      <w:pPr>
        <w:rPr>
          <w:szCs w:val="22"/>
        </w:rPr>
      </w:pPr>
    </w:p>
    <w:p w14:paraId="19CDB79A" w14:textId="77777777" w:rsidR="007E2FC8" w:rsidRPr="00863065" w:rsidRDefault="007E2FC8" w:rsidP="007E2FC8">
      <w:pPr>
        <w:pStyle w:val="2"/>
        <w:numPr>
          <w:ilvl w:val="0"/>
          <w:numId w:val="2"/>
        </w:numPr>
        <w:rPr>
          <w:rFonts w:cs="Arial"/>
        </w:rPr>
      </w:pPr>
      <w:r w:rsidRPr="00863065">
        <w:rPr>
          <w:rFonts w:cs="Arial"/>
        </w:rPr>
        <w:t>Reference</w:t>
      </w:r>
      <w:r>
        <w:rPr>
          <w:rFonts w:cs="Arial" w:hint="eastAsia"/>
        </w:rPr>
        <w:t>s</w:t>
      </w:r>
    </w:p>
    <w:p w14:paraId="0409407B" w14:textId="24CC95E3" w:rsidR="007E2FC8" w:rsidRPr="00262F8E" w:rsidRDefault="0063041D" w:rsidP="00452602">
      <w:pPr>
        <w:pStyle w:val="Reference"/>
      </w:pPr>
      <w:r>
        <w:rPr>
          <w:rFonts w:hint="eastAsia"/>
        </w:rPr>
        <w:t>[1]</w:t>
      </w:r>
      <w:r w:rsidR="00452602">
        <w:tab/>
      </w:r>
      <w:r w:rsidR="00FE7D17">
        <w:rPr>
          <w:rFonts w:hint="eastAsia"/>
        </w:rPr>
        <w:t>Chair notes, RAN2#127.</w:t>
      </w:r>
    </w:p>
    <w:p w14:paraId="71FB5545" w14:textId="77777777" w:rsidR="008E5A66" w:rsidRPr="00262F8E" w:rsidRDefault="008E5A66">
      <w:pPr>
        <w:rPr>
          <w:szCs w:val="22"/>
        </w:rPr>
      </w:pPr>
    </w:p>
    <w:sectPr w:rsidR="008E5A66" w:rsidRPr="00262F8E">
      <w:foot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4001A6" w14:textId="77777777" w:rsidR="00FE437A" w:rsidRDefault="00FE437A" w:rsidP="007E2FC8">
      <w:pPr>
        <w:spacing w:after="0"/>
      </w:pPr>
      <w:r>
        <w:separator/>
      </w:r>
    </w:p>
    <w:p w14:paraId="248BF055" w14:textId="77777777" w:rsidR="00FE437A" w:rsidRDefault="00FE437A"/>
    <w:p w14:paraId="278FBB1B" w14:textId="77777777" w:rsidR="00FE437A" w:rsidRDefault="00FE437A" w:rsidP="00273403"/>
  </w:endnote>
  <w:endnote w:type="continuationSeparator" w:id="0">
    <w:p w14:paraId="22134E4B" w14:textId="77777777" w:rsidR="00FE437A" w:rsidRDefault="00FE437A" w:rsidP="007E2FC8">
      <w:pPr>
        <w:spacing w:after="0"/>
      </w:pPr>
      <w:r>
        <w:continuationSeparator/>
      </w:r>
    </w:p>
    <w:p w14:paraId="59AF4DC4" w14:textId="77777777" w:rsidR="00FE437A" w:rsidRDefault="00FE437A"/>
    <w:p w14:paraId="35472CB9" w14:textId="77777777" w:rsidR="00FE437A" w:rsidRDefault="00FE437A"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D6A2E8" w14:textId="77777777" w:rsidR="00CA1895"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CA1895" w:rsidRDefault="00CA1895">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E3D9CF" w14:textId="77777777" w:rsidR="00CA1895"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826B76" w14:textId="77777777" w:rsidR="00FE437A" w:rsidRDefault="00FE437A" w:rsidP="007E2FC8">
      <w:pPr>
        <w:spacing w:after="0"/>
      </w:pPr>
      <w:r>
        <w:separator/>
      </w:r>
    </w:p>
    <w:p w14:paraId="296179D7" w14:textId="77777777" w:rsidR="00FE437A" w:rsidRDefault="00FE437A"/>
    <w:p w14:paraId="1B8BFD22" w14:textId="77777777" w:rsidR="00FE437A" w:rsidRDefault="00FE437A" w:rsidP="00273403"/>
  </w:footnote>
  <w:footnote w:type="continuationSeparator" w:id="0">
    <w:p w14:paraId="526C7B34" w14:textId="77777777" w:rsidR="00FE437A" w:rsidRDefault="00FE437A" w:rsidP="007E2FC8">
      <w:pPr>
        <w:spacing w:after="0"/>
      </w:pPr>
      <w:r>
        <w:continuationSeparator/>
      </w:r>
    </w:p>
    <w:p w14:paraId="26BF63C4" w14:textId="77777777" w:rsidR="00FE437A" w:rsidRDefault="00FE437A"/>
    <w:p w14:paraId="176322EF" w14:textId="77777777" w:rsidR="00FE437A" w:rsidRDefault="00FE437A"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16cid:durableId="866942341">
    <w:abstractNumId w:val="2"/>
  </w:num>
  <w:num w:numId="2" w16cid:durableId="1916432099">
    <w:abstractNumId w:val="0"/>
  </w:num>
  <w:num w:numId="3" w16cid:durableId="9611116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1122B"/>
    <w:rsid w:val="000B6616"/>
    <w:rsid w:val="00107CBA"/>
    <w:rsid w:val="001376E5"/>
    <w:rsid w:val="00185736"/>
    <w:rsid w:val="001A2211"/>
    <w:rsid w:val="00262F8E"/>
    <w:rsid w:val="00273403"/>
    <w:rsid w:val="002B674A"/>
    <w:rsid w:val="002E5516"/>
    <w:rsid w:val="002E5888"/>
    <w:rsid w:val="003457D1"/>
    <w:rsid w:val="0034760A"/>
    <w:rsid w:val="00351D7C"/>
    <w:rsid w:val="00385B37"/>
    <w:rsid w:val="003965B3"/>
    <w:rsid w:val="004472BF"/>
    <w:rsid w:val="00452602"/>
    <w:rsid w:val="004758BA"/>
    <w:rsid w:val="004A3CEE"/>
    <w:rsid w:val="004B45C9"/>
    <w:rsid w:val="004D04A8"/>
    <w:rsid w:val="004D1B48"/>
    <w:rsid w:val="004E6B03"/>
    <w:rsid w:val="004F2956"/>
    <w:rsid w:val="004F6390"/>
    <w:rsid w:val="0050164C"/>
    <w:rsid w:val="0051172D"/>
    <w:rsid w:val="00534BE1"/>
    <w:rsid w:val="00537958"/>
    <w:rsid w:val="00550A79"/>
    <w:rsid w:val="005839E2"/>
    <w:rsid w:val="005857F6"/>
    <w:rsid w:val="005C447F"/>
    <w:rsid w:val="005F1EB4"/>
    <w:rsid w:val="005F73C8"/>
    <w:rsid w:val="0063041D"/>
    <w:rsid w:val="00665212"/>
    <w:rsid w:val="006F7C82"/>
    <w:rsid w:val="00773575"/>
    <w:rsid w:val="00791E6A"/>
    <w:rsid w:val="007E2FC8"/>
    <w:rsid w:val="0083168F"/>
    <w:rsid w:val="00896DC7"/>
    <w:rsid w:val="008C2D47"/>
    <w:rsid w:val="008E5A66"/>
    <w:rsid w:val="0092515C"/>
    <w:rsid w:val="009A4223"/>
    <w:rsid w:val="00A202B2"/>
    <w:rsid w:val="00A32033"/>
    <w:rsid w:val="00A855FF"/>
    <w:rsid w:val="00AB422A"/>
    <w:rsid w:val="00B329A1"/>
    <w:rsid w:val="00C97CFC"/>
    <w:rsid w:val="00CA1895"/>
    <w:rsid w:val="00D45E71"/>
    <w:rsid w:val="00D8679B"/>
    <w:rsid w:val="00D94041"/>
    <w:rsid w:val="00DA1B6B"/>
    <w:rsid w:val="00DB76B3"/>
    <w:rsid w:val="00E2631E"/>
    <w:rsid w:val="00EB1AD1"/>
    <w:rsid w:val="00F147CF"/>
    <w:rsid w:val="00F24652"/>
    <w:rsid w:val="00F560E5"/>
    <w:rsid w:val="00F90606"/>
    <w:rsid w:val="00FD00B1"/>
    <w:rsid w:val="00FE437A"/>
    <w:rsid w:val="00FE7D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3403"/>
    <w:pPr>
      <w:spacing w:after="180"/>
    </w:p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452602"/>
    <w:pPr>
      <w:ind w:left="424" w:hangingChars="202" w:hanging="424"/>
    </w:pPr>
    <w:rPr>
      <w:szCs w:val="22"/>
    </w:rPr>
  </w:style>
  <w:style w:type="paragraph" w:customStyle="1" w:styleId="ObservationandProposal">
    <w:name w:val="Observation and Proposal"/>
    <w:basedOn w:val="a"/>
    <w:link w:val="ObservationandProposal0"/>
    <w:qFormat/>
    <w:rsid w:val="00452602"/>
    <w:pPr>
      <w:ind w:left="1558" w:hangingChars="742" w:hanging="1558"/>
    </w:pPr>
    <w:rPr>
      <w:b/>
      <w:bCs/>
      <w:szCs w:val="22"/>
    </w:rPr>
  </w:style>
  <w:style w:type="character" w:customStyle="1" w:styleId="Reference0">
    <w:name w:val="Reference (文字)"/>
    <w:basedOn w:val="a0"/>
    <w:link w:val="Reference"/>
    <w:rsid w:val="00452602"/>
    <w:rPr>
      <w:szCs w:val="22"/>
    </w:rPr>
  </w:style>
  <w:style w:type="character" w:customStyle="1" w:styleId="ObservationandProposal0">
    <w:name w:val="Observation and Proposal (文字)"/>
    <w:basedOn w:val="a0"/>
    <w:link w:val="ObservationandProposal"/>
    <w:rsid w:val="00452602"/>
    <w:rPr>
      <w:b/>
      <w:bCs/>
      <w:szCs w:val="22"/>
    </w:rPr>
  </w:style>
  <w:style w:type="paragraph" w:styleId="aa">
    <w:name w:val="List Paragraph"/>
    <w:basedOn w:val="a"/>
    <w:uiPriority w:val="34"/>
    <w:qFormat/>
    <w:rsid w:val="002E5888"/>
    <w:pPr>
      <w:ind w:leftChars="400" w:left="840"/>
    </w:pPr>
  </w:style>
  <w:style w:type="paragraph" w:customStyle="1" w:styleId="Doc-text2">
    <w:name w:val="Doc-text2"/>
    <w:basedOn w:val="a"/>
    <w:link w:val="Doc-text2Char"/>
    <w:qFormat/>
    <w:rsid w:val="00D45E71"/>
    <w:pPr>
      <w:tabs>
        <w:tab w:val="left" w:pos="1622"/>
      </w:tabs>
      <w:spacing w:after="0"/>
      <w:ind w:left="1622" w:hanging="363"/>
    </w:pPr>
    <w:rPr>
      <w:rFonts w:eastAsia="ＭＳ 明朝" w:cs="Times New Roman"/>
      <w:sz w:val="20"/>
      <w:szCs w:val="24"/>
      <w:lang w:val="en-GB" w:eastAsia="en-GB"/>
    </w:rPr>
  </w:style>
  <w:style w:type="character" w:customStyle="1" w:styleId="Doc-text2Char">
    <w:name w:val="Doc-text2 Char"/>
    <w:link w:val="Doc-text2"/>
    <w:qFormat/>
    <w:rsid w:val="00D45E71"/>
    <w:rPr>
      <w:rFonts w:eastAsia="ＭＳ 明朝"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95FD40-BF1F-4E1D-87EB-D9B01DA869DD}">
  <ds:schemaRefs>
    <ds:schemaRef ds:uri="http://schemas.microsoft.com/sharepoint/v3/contenttype/forms"/>
  </ds:schemaRefs>
</ds:datastoreItem>
</file>

<file path=customXml/itemProps3.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3</Pages>
  <Words>778</Words>
  <Characters>4438</Characters>
  <Application>Microsoft Office Word</Application>
  <DocSecurity>0</DocSecurity>
  <Lines>36</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Docomo - Riki Okawa</cp:lastModifiedBy>
  <cp:revision>31</cp:revision>
  <dcterms:created xsi:type="dcterms:W3CDTF">2021-10-20T07:13:00Z</dcterms:created>
  <dcterms:modified xsi:type="dcterms:W3CDTF">2024-10-03T20:09:00Z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ies>
</file>